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96"/>
        <w:gridCol w:w="6979"/>
      </w:tblGrid>
      <w:tr w:rsidR="001371D9" w:rsidRPr="001371D9" w:rsidTr="001371D9"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hideMark/>
          </w:tcPr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Реквизиты нормативного правового акта,</w:t>
            </w: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br/>
              <w:t>регламентирующего порядок действий заявителя и</w:t>
            </w: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br/>
              <w:t>регулируемой организации при подаче, приеме,</w:t>
            </w: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br/>
              <w:t>обработке заявки о подключении к централизованной</w:t>
            </w: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системе холодного водоснабжения, принятии решения и</w:t>
            </w: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br/>
              <w:t>уведомлении о принятом решении: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hideMark/>
          </w:tcPr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Порядок действий заявителя и регулируемой организации при подаче, приеме, обработке заявки на подключение к системам энергоснабжения, принятии решения и уведомлении о принятом решении регламентируются следующими нормативными правовыми актами: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1) Федеральным законом от 7 декабря 2011 г. № 416-ФЗ «О водоснабжении и водоотведении»;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2) постановлением Правительства Российской Федерации от 29 июля 2013 г. № 644 «Об утверждении Правил холодного водоснабжения и водоотведения и о внесении изменений в некоторые акты Правительства Российской Федерации»;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3) постановлением Правительства Российской Федерации от 29 июля 2013 г. № 645 «Об утверждении типовых договоров в области холодного водоснабжения и водоотведения»;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4) постановлением Правительства Российской Федерации от 13 февраля 2006 г. № 83 «Об утверждении Правил определения и предоставления технических условий подключения объекта капитального строительства к сетям инженерно-технического обеспечения и Правил подключения объекта капитального строительства к сетям инженерно-технического обеспечения»;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5) постановлением Правительства Российской Федерации от 12 февраля 1999 № 167 «Об утверждении Правил пользования системами коммунального водоснабжения и канализации в Российской Федерации».</w:t>
            </w:r>
          </w:p>
          <w:p w:rsidR="001371D9" w:rsidRPr="001371D9" w:rsidRDefault="001371D9" w:rsidP="001371D9">
            <w:pPr>
              <w:spacing w:after="168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D9">
              <w:rPr>
                <w:rFonts w:ascii="Arial" w:eastAsia="Times New Roman" w:hAnsi="Arial" w:cs="Arial"/>
                <w:color w:val="000000"/>
                <w:lang w:eastAsia="ru-RU"/>
              </w:rPr>
              <w:t>6) постановлением Правительства РФ от 13.05.2013 N 406 (ред. от 19.10.2018) «О государственном регулировании тарифов в сфере водоснабжения и водоотведения» (вместе с «Основами ценообразования в сфере водоснабжения и водоотведения», «Правилами регулирования тарифов в сфере водоснабжения и водоотведения», «Правилами определения размера инвестированного капитала в сфере водоснабжения и водоотведения и порядка ведения его учета», «Правилами расчета нормы доходности инвестированного капитала в сфере водоснабжения и водоотведения»)</w:t>
            </w:r>
          </w:p>
        </w:tc>
      </w:tr>
    </w:tbl>
    <w:p w:rsidR="0008061A" w:rsidRDefault="0008061A"/>
    <w:sectPr w:rsidR="0008061A" w:rsidSect="0008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371D9"/>
    <w:rsid w:val="0008061A"/>
    <w:rsid w:val="0013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child">
    <w:name w:val="first_child"/>
    <w:basedOn w:val="a"/>
    <w:rsid w:val="0013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3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child">
    <w:name w:val="last_child"/>
    <w:basedOn w:val="a"/>
    <w:rsid w:val="0013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1</cp:revision>
  <dcterms:created xsi:type="dcterms:W3CDTF">2024-04-02T05:32:00Z</dcterms:created>
  <dcterms:modified xsi:type="dcterms:W3CDTF">2024-04-02T05:33:00Z</dcterms:modified>
</cp:coreProperties>
</file>